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70 vom 23. Juni 2016</w:t>
      </w:r>
    </w:p>
    <w:p>
      <w:r>
        <w:t>GR Gerichte, 2016-06-23, DE</w:t>
      </w:r>
    </w:p>
    <w:p>
      <w:r>
        <w:rPr>
          <w:b/>
        </w:rPr>
        <w:t xml:space="preserve">Quelle: </w:t>
      </w:r>
      <w:r>
        <w:t>https://mcp.opencaselaw.ch/entscheid/gr_gerichte_U 2009 70</w:t>
      </w:r>
    </w:p>
    <w:p>
      <w:r>
        <w:t>FR: GR_GERICHTE U 2009 70 du 23 juin 2016</w:t>
      </w:r>
    </w:p>
    <w:p>
      <w:r>
        <w:t>IT: GR_GERICHTE U 2009 70 del 23 giugno 2016</w:t>
      </w:r>
    </w:p>
    <w:p>
      <w:pPr>
        <w:pStyle w:val="Heading2"/>
      </w:pPr>
      <w:r>
        <w:t>Regeste</w:t>
      </w:r>
    </w:p>
    <w:p>
      <w:r>
        <w:t>Regressforderung | Verfassungsrecht</w:t>
      </w:r>
    </w:p>
    <w:p>
      <w:pPr>
        <w:pStyle w:val="Heading2"/>
      </w:pPr>
      <w:r>
        <w:t>Erwägungen</w:t>
      </w:r>
    </w:p>
    <w:p>
      <w:r>
        <w:rPr>
          <w:b/>
        </w:rPr>
        <w:t>E. 4</w:t>
      </w:r>
    </w:p>
    <w:p>
      <w:r>
        <w:t>a) Zur Widerrechtlichkeit gemäss Art. 41 Abs. 1 OR gilt es festzuhalten, dass dieser die Aufgabe zukommt, die möglichen Tatbestände der Haftung in einer noch zu konkretisierenden Weise einzuschränken. Würde nämlich jeder Normverstoss, d.h. die Verletzung aller denkbaren Vorschriften, zu einer Haftung führen, würde das die Haftbarkeit zu sehr ausdehnen. Selbst wenn ein Verhalten einen Schaden verursacht und zu diesem im Verhältnis der Kausalität steht, reicht das noch nicht aus, um eine Haftung zu bejahen. Vielmehr bedarf es der Widerrechtlichkeit im Sinne eines qualifizierten Normverstosses (vgl. SCHNYDER/PORTMANN/MÜLLER-CHEN, a.a.O., 4. Kapitel: Widerrechtlichkeit, N 134 S. 57; REY, a.a.O., § 6 Wider- rechtlichkeit, S. 153 ff.). Laut Rechtsprechung des Bundesgerichts ist die Widerrechtlichkeit objektiv zu verstehen. Danach ist die Schadenszufü- gung widerrechtlich, wenn ein absolutes Recht der geschädigten Person verletzt (Erfolgsunrecht) oder ein Vermögensschaden durch Verstoss ge- gen eine einschlägige Schutznorm (Verhaltensunrecht) bewirkt wird (vgl.</w:t>
      </w:r>
    </w:p>
    <w:p>
      <w:r>
        <w:t>- 29 - LANDOLT/HERZOG-ZWITTER, a.a.O., N 501, S. 162 f. mit Hinweis auf die Ur- teile: BGE 129 IV 322 E.2.2.2, 123 II 577 E.4c, 122 III 176 E.7b, 118 Ib 473 E.2b, 116 Ib 367 E.4b, 115 II 15 E.3a, 113 Ib 420 E.2 und 108 II 305 E.2b). Die Prüfung der Widerrechtlichkeit hat sich demnach vorliegend sowohl auf den eigentlichen Operationseingriff als solchen als auch auf die ärztliche Aufklärungspflicht im Vorfeld der Operation zu beziehen (s. LANDOLT/HERZOG-ZWITTER, a.a.O., § 12 Informationsfehler, Aufklärungs- grundsatz N 853 ff., S. 281 ff.; Umfang und Zeitpunkt der Aufklärung, N 870 und 902). b) Nachdem die grobe Fahrlässigkeit bereits erstellt ist (vgl. E.3b, hiervor), kommt der Frage einer ungenügenden oder gar fehlenden fachärztlichen Aufklärung durch den operierenden Spitalarzt vor dem chirurgischen Na- sen-/Augenhöhleneingriff (Polysinusitis-Operation) vom ….. 1992 keine entscheidende Bedeutung mehr zu. Grundsätzlich ist das streitberufene Gericht im konkreten Fall der Ansicht, dass die Aufklärung der Geschä- digten durch den Operateur und Schadensverursacher beweismässig nicht erstellt ist, zumal die Beweislast bei dieser Verfahrenskonstellation selbstverständlich bei Letzterem bzw. dem für ihn haftenden Beklagten liegt. Die rudimentären Notizen in der Krankengeschichte – wie z.B. der Vermerk vom 15. November 1991: „Gespräche ad OP“ – sind jedenfalls zu unspezifisch, als dass bereits gestützt darauf auf eine umfassende Orientierung der Patientin über die Gefahren und Risiken der betreffen- den Operation zugunsten des operierenden Chirurgen/Spitalarztes ge- schlossen werden könnte. Nach Auffassung des Gerichts spielt es dabei keine Rolle, welche Gepflogenheiten oder Usancen im betreffenden Spital anfangs der 90er Jahre geherrscht haben. Die Klägerin führte in diesem Zusammenhang zu Recht aus, dass das Bundesgericht bereits zum Zeit- punkt der schädigenden Operation hohe Anforderungen an die Aufklärung eines Arztes/einer Ärztin über die Gesundheitsrisiken eines geplanten Eingriffs in die körperliche Integrität eines Patientin/einer Patientin gestellt</w:t>
      </w:r>
    </w:p>
    <w:p>
      <w:r>
        <w:t>- 30 - hatte (so schon BGE 117 Ib 197 E.2a-c vom 28. Mai 1991; also in einem Zeitpunkt bevor die hier zur Diskussion stehenden Operation vom … 1992 stattfand; BGE 133 III 121 E.4). Das Bundesgericht macht keinen Unter- schied zwischen Universitäts-, Zentrums- und Regionalspitälern in Bezug auf den Nachweis der erfolgten Aufklärung und deren Umfang. Es ist da- her Sache des Beweisbelasteten, wie er mit dieser Situation umgeht. Im vorliegenden Fall haben nun aber weder die Krankengeschichte noch die Zeugenbefragungen des Operateurs und der Geschädigten vom 30. Ja- nuar 2014 den verlangten Nachweis erbracht, dass eine Aufklärung über die Risiken der bevorstehenden Operation stattgefunden hätte und sich der operierende Spitalarzt somit absolut korrekt verhalten hätte. c) Selbst wenn aber der betreffende Chirurg und Spitalarzt seine damalige Spitalpatientin klaglos und nachvollziehbar über die beabsichtigte Infundi- bulektomie aufgeklärt hätte, so wäre diese Einwilligung und damit der Rechtfertigungsgrund für den in Frage stehenden Körpereingriff hier hin- fällig bzw. ohne rechtliche Relevanz, und zwar aus zwei Gründen: Zum einen deckt die tatsächliche oder hypothetische Einwilligung des Patien- ten immer nur den nach den Regeln der ärztlichen Kunst (lege artis) vor- genommenen Eingriff ab, nicht aber den unsorgfältigen Eingriff (BGE 123 II 577 E.4d/ee); zum anderen hat der operierenden Spitalarzt laut Gutach- ter seine Operation auf der rechten Seite deutlich über eine Infundibulek- tomie ausgeführt, indem er seinen Eingriff bis zur Schädelbasis nach hin- ten ausführte, und zwar bis in die Keilbeinhöhle, welche er ebenfalls ope- rativ eröffnete (Antwort auf Frage 15 der Klägerin bzw. Frage 1 des Be- klagten). Zudem konnte der Experte nicht nachvollziehen, weshalb der operierenden Spitalarzt auf der rechten Seite der Patientin deutlich aus- gedehnter operierte, zumal die linke Seite eigentlich mehr Erkrankung ge- zeigt hatte (Antwort auf Frage 16 des Beklagten). Im Zuge der ausge- dehnten Operation kam es dann zu einer Verletzung der arteria ehtimoi- dalis anterior und durch den Blutaustritt wiederum zu erschwerten Sicht-</w:t>
      </w:r>
    </w:p>
    <w:p>
      <w:r>
        <w:t>- 31 - verhältnissen. Von einer Einwilligung der (aufgeklärten) Patientin und so- mit einem die Widerrechtlichkeit ausschliessenden Rechtfertigungsgrund für den missratenen Eingriff in deren körperliche Integrität/Unversehrtheit kann hier deshalb so oder anders keine Rede sein.</w:t>
      </w:r>
    </w:p>
    <w:p>
      <w:r>
        <w:rPr>
          <w:b/>
        </w:rPr>
        <w:t>E. 5</w:t>
      </w:r>
    </w:p>
    <w:p>
      <w:r>
        <w:t>Was die Schadenszuordnung und somit die ins Recht gefasste Schuld- nerschaft (hier Beklagter) der eingeklagten Forderung betrifft, so ist unter den Parteien unbestritten und insbesondere auch unwiderlegt geblieben, dass eine allfällige Regressforderung den Beklagten bzw. den Arbeitge- ber des operierenden Spitalarztes betrifft. An der Passivlegitimation des Beklagten besteht für das streitberufene Gericht deshalb ebenfalls nicht der geringste Zweifel (vgl. E.2a, hiervor). Diese Rechtsauffassung ist si- cherlich richtig, nachdem sich aus dem Aktendossier ergibt, dass die Klä- gerin schon am 15. November 1993 bei der damals zuständigen Betriebs- haftpflichtversicherung, I._____, als legitimierte Vertreterin des Beklagten ihre Regressansprüche angemeldet hatte (KB act. 29). Der Regress beur- teilt sich dabei allerdings noch nach den inzwischen aufgehobenen Art. 48ter ff. AHVG und Art. 52 IVG. Erinnert sei hier zudem daran, dass die erwähnte Betriebshaftpflichtversicherung ebenso Mitglied der Schweizeri- schen Vereinigung für Haftpflicht- und Motorfahrzeugversicherer ist, wel- che 1981/82 mit dem Bundesamt für Sozialversicherung (BSV) eine Ver- einbarung betreffend Verjährungsverzicht für Regressansprüche abge- schlossen hat (Replik: KB act.2). In Ziffer 2a) dieser Vereinbarung wurde ausdrücklich bestimmt, dass die beteiligten Versicherungsgesellschaften gegenüber Regressansprüchen gemäss Art. 48ter ff. AHVG und Art. 52 IVG für sich und ihre Versicherten auf die Einrede der Verjährung verzich- ten, sofern der erhobene Regressanspruch rechtzeitig schriftlich ange- meldet worden sei. Gerade dies ist hier geschehen, zumal die Klägerin nachweislich bereits 22 Monate nach der missratenen Operation in dieser Beziehung aktiv wurde und so ein zuverlässiges und einleuchtendes Kla- gefundament für ihren Regress legte.</w:t>
      </w:r>
    </w:p>
    <w:p>
      <w:r>
        <w:t>- 32 -</w:t>
      </w:r>
    </w:p>
    <w:p>
      <w:r>
        <w:rPr>
          <w:b/>
        </w:rPr>
        <w:t>E. 6</w:t>
      </w:r>
    </w:p>
    <w:p>
      <w:r>
        <w:t>a) Im Hinblick auf die Schadensberechnung und demnach die Höhe der vor Verwaltungsgericht instanziierten Klagesumme gilt es festzuhalten, dass die Klägerin tatsächlich und allseits unbestritten für die Zeit vom 1. Januar 1993 bis zum 31. August 2009 für die Geschädigte bereits Rentenleistun- gen im Umfang von Fr. 296‘548.-- erbrachte. Der Kapitalwert der ab dem 1. September 2009 bis zum 64. Altersjahr der Geschädigten auszurich- tenden Leistungen, bei Fr. 12‘156.-- pro Jahr, beträgt somit Fr. 118'717.--. Insgesamt ist die Klagesumme der Klägerin daher beim derzeit noch gel- tenden Pensionsalter für Frauen von 64 Jahren auf Fr. 415‘265.-- (Fr. 296‘548.-- + Fr. 118'717.--; s. KB 18) zu beziffern. Die Schadensberech- nung hat dabei nach Massgabe des Nettolohnes zu erfolgen, obwohl die Arbeitgeberin der Geschädigten am 7. April 2005 im Fragebogen zu Han- den der Invalidenversicherung noch bestätigte, dass die bei ihr beschäf- tigte Lohnempfängerin (Geschädigte) als N._____ ein Monatssalär von Fr. 4‘850.-- verdienen könnte (KB 10). Die Klägerin hielt dazu fest, es tref- fe zwar zu, dass die Arbeitgeberin in den früheren Fragebögen von 1993 und 1997 das Valideneinkommen lediglich auf bis zu Fr. 3‘200.-- pro Mo- nat beziffert habe. Selbst wenn man auf diese tieferen Einkommenszah- len (1993/1997) abstellen wollte, wäre der entstandene Einkommensaus- fall mit Fr. 324‘909.-- aber stets noch höher als die in der gleichen Zeit- spanne effektiv ausgerichteten Versicherungsleistungen von Fr. 296‘548.- -. Der Anspruch der Klägerin sei somit ausgewiesen. Der Beklagte hält hingegen die Rentenverfügungen vom 23. September 1994 der IV-Stelle des Kantons Graubünden (im Sachverhalt Ziff. 3, hier- vor) für fehlerhaft, allenfalls sogar für nichtig. Die Klägerin habe die Rente der Patientin (Geschädigten) nicht nach Massgabe des Einkommensver- gleichs bemessen und damit nicht der im Haftpflichtrecht gebräuchlichen Berechnungsart für Erwerbsschäden entsprochen. So sei der tatsächlich ausbezahlte Lohn der Patientin viel höher gewesen als der Lohn, der die IV-Stelle ihrer Berechnung für die Ermittlungen des IV-Grades zugrunde</w:t>
      </w:r>
    </w:p>
    <w:p>
      <w:r>
        <w:t>- 33 - gelegt habe. Für unrechtmässig ausgerichtete Versicherungsleistungen bestehe aber kein Regressrecht. Die Klägerin habe die Arbeits- und Er- werbsfähigkeit der Patientin mit 50 % angenommen und sie sei deswegen von einem Invalideneinkommen von Fr. 1‘550.-- pro Monat ausgegangen. Tatsächlich habe die Patientin allerdings auch nach der missratenen Ope- ration am ….. 1992 weiterhin den vollen Lohn von Fr. 3‘100.-- pro Monat bezogen. Die Arbeitgeberin der Patientin begründete diese Gehaltshöhe damit, dass die Geschädigte zugleich noch Minderheitsaktionärin dersel- ben Gesellschaft sei. Korrekterweise hätte die Klägerin bei dieser Kon- stellation damit aber beim Invalideneinkommen vom tatsächlich bezoge- nen Lohn ausgehen müssen, da für unrechtmässig ausgerichtete IV- Leistung-en überhaupt kein Regressrecht bestehe. b) Damit der mit der vorliegenden Klage eingeforderte Regressbetrag in vol- lem Umfang zugesprochen werden kann, müssen die von der Klägerin ausgerichteten Rentenleistungen auch dem haftpflichtrechtlich relevanten Schaden der Rentenempfängerin entsprechen (BGE 134 III 489 E.4). Wie die Klägerin dazu korrekt ausführt, ist die sachliche Kongruenz gegeben, da die Rente der Patientin/Geschädigten ausschliesslich nach Massgabe des Einkommensvergleichs bemessen wurde, was dem haftpflichtrecht- lich relevanten Erwerbsschaden entspricht. Die Geschädigte war vor dem schädigenden Ereignis vollzeitig erwerbstätig und sie wäre es weiterhin geblieben, wie die Zeugenbefragung vom 30. Januar 2014 gezeigt hat (s. dort Antworten der Zeugin auf Fragen 4 und 6 von Rechtsanwalt Markus Schmid). Weiter ist auch die ereignisbezogene Kongruenz gegeben, weil die Rentenleistungen der Klägerin aufgrund desselben Ereignisses aus- bezahlt werden, welches auch zu einem haftpflichtrechtlichen Schaden geführt hat. Dasselbe ist zur persönlichen Kongruenz zu sagen. Auch die- se Kongruenz zwischen Rente und Haftpflichtanspruch scheint dem Ge- richt gegeben zu sein, im Besonderen auch in Bezug auf die Kinderren- ten, welche nicht den Kindern zustehen, sondern den erziehungsberech-</w:t>
      </w:r>
    </w:p>
    <w:p>
      <w:r>
        <w:t>- 34 - tigten Personen, an welche sie ausbezahlt werden (vgl. im Sachverhalt Ziff. 4 - Klage Rz. 76 mit Literaturhinweis). c) Was das Vorbringen des Beklagten betrifft, die Berechnungen der Invali- denversicherung zum Invaliditätsgrad und damit zur Rentenhöhe seien fehlerhaft erfolgt, gilt es auf das Urteil des Bundesgerichts 4C.374/2005 vom 10. Januar 2006 E.4.1 hinzuweisen; darin schloss sich das Bundes- gericht der Auffassung der Eidgenössischen Invalidenversicherung an, wonach das Sachgericht in einem Regressprozess zur - vorfrageweisen - Feststellung der Leistungsansprüche nach dem Invalidenversicherungs- gesetz (IVG) nicht noch einmal denselben Aufwand zu treiben habe, wie die zuständigen Behörden der Sozialversicherung. Die Voraussetzungen der gesetzlichen Leistungen im Sinne von Art. 48ter AHVG seien – mit Verweis auf BGE 110 V 176 E.2a – erfüllt, wenn die entsprechenden Leis- tungen in einer Verfügung festgelegt wurden, soweit diese weder nichtig noch mit einem Mangel behaftet sei, der nach der Praxis zur Wiederer- wägung führen könnte. Das Gericht ist dazu im Einklang mit der Klägerin der Auffassung, dass die Rentenverfügungen vom 23. September 1994 weder nichtig noch mit einem schwerwiegenden Mangel behaftet sind und ihnen daher volle Rechtsverbindlichkeit zukommt (vgl. KB act. 11 und 12). d) Die Klägerin behandelt in ihrer Klage (im Sachverhalt Ziff. 4 – Klage Rz. 69 ff.) umfassend die Sozialkomponente des Lohnes der Patientin/Ge- schädigten nach der missratenen Operation. Auf Rückfrage der Behörden wurde dieser Lohn von der Arbeitgeberin noch dokumentarisch belegt. In ihrem Schreiben vom 11. August 2005 legt dieselbe Arbeitgeberin noch dar (KB act. 57), dass sie das 50 %-Pensum der Geschädigten zu 100 % entlöhne, um zu vermeiden, dass die Patientin als Mitinhaberin der Firma (Minderheitsaktionärin) Ergänzungsleistungen beziehen müsse. Dass sol- che Zahlungen bei der Invaliditätsbemessung nicht zu berücksichtigen sind, hat das Bundesgericht aber bereits mehrfach entschieden (so u.a.</w:t>
      </w:r>
    </w:p>
    <w:p>
      <w:r>
        <w:t>- 35 - bereits in BGE 104 V 90; bestätigt in den Urteilen des Bundesgerichts 9C_670/2014 vom 13. Mai 2015 E.3.1, 3.3, 4.2 und E.5.1, 5.2 sowie 9C_622/2012 vom 18. März 2013 E.2.2). Die von der Beklagten behaup- teten Mängel bei den Rentenverfügungen sind somit nirgends ersichtlich. e) Was die Höhe der Regressforderung angeht, so besteht für das Gericht keinerlei Zweifel, dass die Berechnungen der Klägerin korrekt ausgefallen sind, zumal die Beklagte diese auch nie bestritten hat. Nach heutigem Gesetzes- und Erkenntnisstand wird die Geschädigte mit 64 und nicht erst mit 65 Jahren das AHV-berechtigende Pensionsalter erlangen, ob- wohl die Erhöhung des AHV-Alters voraussichtlich schrittweise schon ab 2018 eingeführt und dieser Systemwechsel auf den 1. Januar 2021 abge- schlossen und umgesetzt sein soll. Die sich im Parlament abzeichnende Tendenz für die Erhöhung des AHV-Alters für Frauen auf 65 Jahre ("de lege ferenda") reicht nach Ansicht des Gerichts hier aber nicht aus, um sich über das aktuell noch geltende AHV-Pensionsalter für Frauen von 64 Jahren ("de lege lata") hinwegzusetzen (s. KB act. 18). Laut Beschluss des Ständerates vom September 2015 geht die politische Entwicklung derzeit dahin, dass auf den 1. Januar 2018 die Einführung einer entspre- chenden Gesetzesrevision angegangen wird und das Frauenrentenalter ab 1. Januar 2021 neuerdings 65 Jahre betragen sollte. Eine erste Er- höhung erfolgt auf den 1. Januar 2018 um drei Monate, die nächsten Schritte erfolgen auf Anfang 2019 (sechs Monate), 2020 (neun Monate) und 2021 (12 Monate). Die heute 58-jährige Patientin wird im Jahre 2022 das aktuell gültige AHV-Rentenalter von 64 Jahren erreichen. Wollte man dazu anderer Meinung sein, würde sich die Klagesumme auf Fr. 422‘434.- - (Fr. 296‘548.-- plus [künftige Rente kapitalisiert bis 2023] Fr. 125‘886.--) belaufen. Nach Ansicht des streitberufenen Gericht ist vorliegend jedoch auf das jetzt gültige AHV-Pensionsalter abzustellen (vgl. zum Ganzen: Medienmitteilung der Bundesversammlung vom 19. August 2016 betref- fend "AHV und Pensionskassen für die Zukunft sichern" [https:</w:t>
      </w:r>
    </w:p>
    <w:p>
      <w:r>
        <w:t>- 36 - //www.parlament.ch/press-releases/Pages/mm-sgk-n-2016-08-19-b.aspx] sowie Abstimmungsunterlagen für den 25. September 2016 betreffend (2. Volksinitiative vom 17. Dezember 2013 "AHV-plus: für eine starke AHV", BBl 2015 9551, [https://www.admin.ch/gov/de/start/dokumentation/me- dienmitteilungen.msg-id-61671.html]). Die berechtigte und zu schützende Regressforderung beläuft sich im konkreten Fall somit auf Fr. 415‘265.-- (Fr. 296‘548.-- plus [künftige Rente kapitalisiert bis 2022] Fr. 118'717.--). f) Der Beklagte macht weiter geltend, dass die I._____ der Arbeitgeberin der Patientin/Geschädigten Lohnvorschusszahlungen bis zum 31. März 1994 zurückerstattet habe (unter Verweis auf KB act. 54); die Klägerin mache aber Rentenleistungen für die Zeit ab dem 1. Januar 1993 geltend (so in Klageantwort S. 14, zweiter Absatz). Die Klägerin wendet dagegen in ihrer Replik (im Sachverhalt Ziff. 7 – Replik Rz. 55) ein, dass die ver- meintlich von der Betriebshaftpflichtversicherung erbrachten Leistungen nicht quantifiziert würden, sodass nicht geprüft werden könne, ob solche Leistungen auf den Regressanspruch angerechnet werden könnten; zu- mal auch nicht klar sei, ob solche Leistungen durch den Haftpflichtversi- cherer bereits im Rahmen der Regelung des Direktschadens berücksich- tigt worden seien. Diese Ausführungen blieben in der Duplik unerwidert (im Sachverhalt Ziff. 8). Das Gericht erachtet diese vom Beklagten vorge- tragenen rechtshindernden Behauptungen - gleichermassen wie die Klä- gerin - als zum Beweisthema des Beklagten gehörend. Während die Klä- gerin nachweist, Versicherungsleistungen ab dem 1. Januar 1993 ausge- richtet zu haben, werden auf Seiten des Beklagten keine Beweise vorge- bracht, wonach ein bestimmter Geldbetrag effektiv noch an die Regress- forderung angerechnet werden sollte. Aus diesem Grunde taxiert das streitberufene Gericht die erbrachten Rentenleistungen der Klägerin als beweisrechtlich genügend aus- und nachgewiesen.</w:t>
      </w:r>
    </w:p>
    <w:p>
      <w:r>
        <w:t>- 37 - g) Zur Geltendmachung von Verzugszinsen ist zu sagen, dass auf eine sol- che Forderung gemäss der bereits eingangs im Zusammenhang mit der Verjährung erwähnten Vereinbarung (s. E.2d, hiervor) zwischen den Haft- pflichtversicherern und dem Bundesamt für Sozialversicherung (BSV) je- weils verzichtet wird, sofern der Haftpflichtige angemessene Akontozah- lungen leistet. Da die damalige Betriebshaftpflichtversicherung keine sol- chen Akontozahlungen getätigt hat, ist/bleibt es der Klägerin unbenom- men, solche nunmehr doch noch zu verlangen. Diese Zinspflicht würde natürlich gleichwohl bestehen, selbst wenn die Vertretung des Beklagten durch die damalige Betriebshaftpflichtversicherung, I._____ Versiche- rungsgesellschaft, vorher durch das Gericht verneint worden wäre (s. da- zu E.5, hiervor). Die Höhe des Verzugszinses von 5 % ist ebenfalls kor- rekt, da sie dem nach Art. 73 Abs. 1 OR vorgesehenen Zinstreffnis für solche Fälle entspricht. Ferner gibt es auch an den festgelegten Laufzei- ten (zuerst vom 1. Januar 1993 bis zum 31. August 2009 [= Fr. 126‘744.--] und danach noch ab dem 1. September 2009) nichts auszusetzen, zumal diese Zeitfenster zutreffen und sich selbst der Beklagte nicht dagegen zur Wehr setzte.</w:t>
      </w:r>
    </w:p>
    <w:p>
      <w:r>
        <w:rPr>
          <w:b/>
        </w:rPr>
        <w:t>E. 7</w:t>
      </w:r>
    </w:p>
    <w:p>
      <w:r>
        <w:t>a) In Anbetracht des Ausgangs dieses Klageverfahren werden die Gerichts- kosten gestützt auf Art. 73 Abs. 1 VRG dem materiell beinahe vollständig unterliegenden Beklagten auferlegt. Eine Änderung bzw. kleine Reduktion der Klagesumme um Fr. 7'169.-- (Fr. 422'434.-- minus Fr. 415'265.--) ist einzig wegen des zu hoch veranschlagten AHV-Pensionsalters (65 statt recte aktuell 64 Jahre) vorzunehmen, was ziffernmässig bei einer zinsbe- reinigten Streitsumme von weit über ½ Million Franken aber keinen Ein- fluss auf die Kostenverlegung haben kann, obwohl im Dispositiv aus ge- nau diesem Grunde konsequenterweise nur noch auf eine teilweise Gut- heissung der Klage erkannt werden kann. Das erstinstanzliche Gericht erachtet hier ermessensweise eine Staatsgebühr von Fr. 20‘000.-- für an- gemessen, weil es sich um eine rein vermögensrechtliche Angelegenheit</w:t>
      </w:r>
    </w:p>
    <w:p>
      <w:r>
        <w:t>- 38 - mit beträchtlichem Streitwert handelt. Das Verfahren war zudem komplex und es mussten ein Teilurteil und ein Haupturteil gefällt werden. Es wurde ein gerichtliches Gutachten (Kosten Fr. 6‘000.--) eingeholt und zwei Zeu- gen (Auslagen Fr. 195.--) wurden einvernommen. Die entstandenen, für die Fallbeurteilung notwendigen und unverzichtbar verursachten Mehr- kosten in Bezug auf das Gerichtsgutachten vom 21. April 2015 und die Zeugeneinvernahmen vom 30. Januar 2014 sind dabei verfahrensbedingt ebenfalls dem Beklagten - zusätzlich zur Staatsgebühr - zu überbinden. b) Laut Art. 78 Abs. 2 VRG wird dem Bund, dem Kanton und den Gemein- den sowie den mit öffentlich-rechtlichen Aufgaben betrauten Organisatio- nen in der Regel keine Parteientschädigung zugesprochen, wenn sie in ihrem amtlichen Wirkungskreis obsiegen. In Lehre und Rechtsprechung sind Ausnahmen von dieser Grundregel aber denkbar und anerkannt, so namentlich wenn es um Regressansprüche von Sozialversicherungsträ- gern in einem Klageverfahren geht, da sich dieses dem Zivilprozess ent- sprechend nach der Verhandlungsmaxime (Art. 55 Abs. 1 der Schweizeri- schen Zivilprozessordnung [ZPO; SR 272]) und der Dispositionsmaxime (Art. 58 Abs. 1 ZPO) – anstatt der im öffentlichen Recht sonst üblichen Offizial- und Untersuchungsmaxime – richtet, weshalb die Folgen der Be- weislosigkeit laut Art. 8 des Schweizerischen Zivilgesetzbuches (ZGB; SR 210) hier derjenige zu tragen hat, der daraus Rechte und Ansprüche zu seinen Gunsten herleiten möchte. Im Sinne einer Ausnahme sind deshalb bei Forderungs- und Regressansprüchen durch Sozialversicherungsträ- ger angemessene Parteientschädigungen möglich und rechtlich zulässig (MARCEL ALEXANDER NIGGLI/PETER UEBERSAX/HANS WIPRÄCHTIGER [Hrsg.], THOMAS GEISSER in: Basler Kommentar [BSK] zum Bundesgerichtsgesetz [BGG], 2. Aufl. Basel 2011, zu Art. 68 N 21 in fine S. 762-763; sowie noch einmal Urteil des Bundesgerichts 4C.374/2005 vom 10. Januar 2006 E.5 – wenn auch dort ohne nähere Begründung).</w:t>
      </w:r>
    </w:p>
    <w:p>
      <w:r>
        <w:t>- 39 - Ausgangspunkt für die Gewährung einer Parteientschädigung zu Gunsten der materiell überwiegend obsiegenden Klägerin ist hier ihre anwaltliche Honorarnote vom 9. Juni 2016, worin eine Entschädigung von insgesamt Fr. 38‘325.50 (unterteilt in Bemühungen bis Ende 2010 von Fr. 22‘349.05 sowie Bemühungen ab Januar 2011 von Fr. 15‘976.45) geltend gemacht wurde (gegliedert in: Aufwand bis Ende 2010: 81.5 Arbeitsstunden à Fr. 240.-- [Fr. 19‘560.--] plus Auslagen [Porti/Kopien/Telefonate] Fr. 1‘210.50, und plus MWST 7.6 % [Fr. 1‘578.55], ergibt Zwischentotal Fr. 22‘349.05; plus Aufwand ab Januar 2011: 60 Arbeitsstunden à Fr. 240.-- [Fr. 14‘400.- -] zzgl. Auslagen [Porti/Kopien/Telefonate] Fr. 393.--, MWST 8.0 % [Fr. 1‘183.45], ergibt 2. Zwischentotal Fr. 15‘976.45). An der Höhe und Zu- sammensetzung dieser Honorarnote über total Fr. 38‘325.50 gibt es aus Sicht des Gerichts nichts zu bemängeln oder nach unten zu korrigieren, zumal die anwaltliche Honorarnote vom 10. Juni 2016 des Beklagten mit insgesamt Fr. 61‘511.65 noch bedeutend höher ausfiel, was ebenfalls für den Bestand und die Verhältnismässigkeit der besagten Honorarnote der Klägerin vom 9. Juni 2016 spricht. In diesem Umfang hat der unterliegen- de Beklagte die Klägerin also noch aussergerichtlich zu entschädigen. c) Zur Rechtmittelbelehrung sei einzig noch klargestellt, dass das streitberu- fene Verwaltungsgericht bei Staatshaftungsfragen neu als erste Gerichts- instanz fungiert und gegen dessen Urteil (ab Zustellungsdatum) innert 30 Tagen die Weiterzugsmöglichkeit an das Kantonsgericht Graubünden be- steht (vgl. Art. 85b VRG als Übergangsbestimmung betreffend 'doppelter Instanzenzug' im Kanton Graubünden; sowie Botschaft Heft Nr. 7/2015- 2016 S. 373; laut Kantonsamtsblatt vom 4. Februar 2016 ist Art. 85b VRG rückwirkend per 1. Februar 2016 in Kraft gesetzt worden). Demnach erkennt das Gericht:</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